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27" w:rsidRPr="0050603B" w:rsidRDefault="007C5227" w:rsidP="00A22FFE">
      <w:pPr>
        <w:rPr>
          <w:rStyle w:val="Strong"/>
          <w:rFonts w:cs="Arial"/>
          <w:b w:val="0"/>
          <w:color w:val="000000"/>
        </w:rPr>
      </w:pPr>
      <w:r w:rsidRPr="007C5227">
        <w:t xml:space="preserve">The </w:t>
      </w:r>
      <w:r w:rsidRPr="007C5227">
        <w:t>Workforce Innovation and Op</w:t>
      </w:r>
      <w:r w:rsidRPr="007C5227">
        <w:t xml:space="preserve">portunity Act (WIOA), 2014, allows for workforce preparation activities to be integrated into adult education instruction. </w:t>
      </w:r>
      <w:r w:rsidRPr="007C5227">
        <w:t xml:space="preserve">  </w:t>
      </w:r>
      <w:r w:rsidRPr="007C5227">
        <w:rPr>
          <w:rStyle w:val="Strong"/>
          <w:rFonts w:cs="Arial"/>
          <w:b w:val="0"/>
          <w:color w:val="000000"/>
        </w:rPr>
        <w:t xml:space="preserve">Beginning in July 2016, Florida’s adult education curriculum frameworks will include the workforce preparation activities as shown below. </w:t>
      </w:r>
      <w:bookmarkStart w:id="0" w:name="_GoBack"/>
      <w:bookmarkEnd w:id="0"/>
    </w:p>
    <w:p w:rsidR="007C5227" w:rsidRDefault="007C5227" w:rsidP="00A22FFE">
      <w:pPr>
        <w:rPr>
          <w:rFonts w:cs="Arial"/>
        </w:rPr>
      </w:pPr>
    </w:p>
    <w:p w:rsidR="00A22FFE" w:rsidRPr="00A22FFE" w:rsidRDefault="00A22FFE" w:rsidP="00A22FFE">
      <w:pPr>
        <w:rPr>
          <w:b/>
        </w:rPr>
      </w:pPr>
      <w:r w:rsidRPr="00A22FFE">
        <w:rPr>
          <w:b/>
        </w:rPr>
        <w:t xml:space="preserve">Workforce Preparation Activities </w:t>
      </w:r>
    </w:p>
    <w:p w:rsidR="00A22FFE" w:rsidRPr="00A22FFE" w:rsidRDefault="00A22FFE" w:rsidP="00A22FFE">
      <w:r w:rsidRPr="00A22FFE">
        <w:t xml:space="preserve">The term “workforce preparation activities” means activities, programs, or services designed to help an individual acquire a combination of basic academic skills, critical thinking skills, digital literacy skills, and self-management skills, including </w:t>
      </w:r>
      <w:r w:rsidR="000777DD">
        <w:t>competencies in</w:t>
      </w:r>
      <w:r w:rsidRPr="00A22FFE">
        <w:t xml:space="preserve"> utilizing resources, using information, working with others, understanding systems</w:t>
      </w:r>
      <w:r w:rsidR="000777DD">
        <w:t>,</w:t>
      </w:r>
      <w:r w:rsidRPr="00A22FFE">
        <w:t xml:space="preserve"> and obtaining skills necessary for successful transition into and completion of postsecondary education or training</w:t>
      </w:r>
      <w:r w:rsidR="000777DD">
        <w:t>,</w:t>
      </w:r>
      <w:r w:rsidRPr="00A22FFE">
        <w:t xml:space="preserve"> or employment. (Workforce Innovation and Opportunity Act (WIOA), 2014).  </w:t>
      </w:r>
    </w:p>
    <w:p w:rsidR="00A22FFE" w:rsidRPr="00A22FFE" w:rsidRDefault="00A22FFE" w:rsidP="00A22FFE">
      <w:pPr>
        <w:rPr>
          <w:rFonts w:cs="Arial"/>
        </w:rPr>
      </w:pPr>
    </w:p>
    <w:p w:rsidR="004B4D45" w:rsidRDefault="00A22FFE">
      <w:r w:rsidRPr="00A22FFE">
        <w:t>The following activities should be integrated in</w:t>
      </w:r>
      <w:r w:rsidR="00E0109F">
        <w:t>to</w:t>
      </w:r>
      <w:r w:rsidR="00C1640D">
        <w:t xml:space="preserve"> the classroom</w:t>
      </w:r>
      <w:r w:rsidR="00E0109F">
        <w:t xml:space="preserve"> </w:t>
      </w:r>
      <w:r w:rsidRPr="00A22FFE">
        <w:t xml:space="preserve">instruction: </w:t>
      </w:r>
    </w:p>
    <w:p w:rsidR="00A55719" w:rsidRPr="00A22FFE" w:rsidRDefault="00A55719">
      <w:pPr>
        <w:rPr>
          <w:rFonts w:ascii="Arial" w:hAnsi="Arial" w:cs="Arial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5490"/>
        <w:gridCol w:w="2340"/>
      </w:tblGrid>
      <w:tr w:rsidR="007C5227" w:rsidRPr="00A22FFE" w:rsidTr="0050603B">
        <w:trPr>
          <w:trHeight w:val="37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7C5227" w:rsidRDefault="007C5227" w:rsidP="007C5227">
            <w:pPr>
              <w:jc w:val="center"/>
              <w:rPr>
                <w:b/>
              </w:rPr>
            </w:pPr>
            <w:r w:rsidRPr="007C5227">
              <w:rPr>
                <w:b/>
              </w:rPr>
              <w:t>Competency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7C5227" w:rsidRDefault="007C5227" w:rsidP="007C5227">
            <w:pPr>
              <w:jc w:val="center"/>
              <w:rPr>
                <w:b/>
              </w:rPr>
            </w:pPr>
            <w:r w:rsidRPr="007C5227">
              <w:rPr>
                <w:b/>
              </w:rPr>
              <w:t>Description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7C5227" w:rsidRDefault="007C5227" w:rsidP="007C5227">
            <w:pPr>
              <w:jc w:val="center"/>
              <w:rPr>
                <w:b/>
              </w:rPr>
            </w:pPr>
            <w:r w:rsidRPr="007C5227">
              <w:rPr>
                <w:b/>
              </w:rPr>
              <w:t>Content Area</w:t>
            </w:r>
          </w:p>
        </w:tc>
      </w:tr>
      <w:tr w:rsidR="007C5227" w:rsidRPr="00A22FFE" w:rsidTr="0050603B">
        <w:trPr>
          <w:trHeight w:val="1152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 xml:space="preserve">Critical Thinking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 xml:space="preserve">All students will make decisions and solve problems by specifying goals, identifying resources and constraints, generating alternatives, considering impacts, choosing appropriate alternatives, implementing plans of action, and evaluating results.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Default="007C5227" w:rsidP="00A55719">
            <w:r>
              <w:t>Reading</w:t>
            </w:r>
          </w:p>
          <w:p w:rsidR="007C5227" w:rsidRDefault="007C5227" w:rsidP="00A55719">
            <w:r>
              <w:t>Language Arts</w:t>
            </w:r>
          </w:p>
          <w:p w:rsidR="007C5227" w:rsidRDefault="007C5227" w:rsidP="00A55719">
            <w:r>
              <w:t>Speaking and Listening</w:t>
            </w:r>
          </w:p>
          <w:p w:rsidR="007C5227" w:rsidRPr="00A22FFE" w:rsidRDefault="007C5227" w:rsidP="00A55719">
            <w:r>
              <w:t>Math</w:t>
            </w:r>
          </w:p>
        </w:tc>
      </w:tr>
      <w:tr w:rsidR="007C5227" w:rsidRPr="00A22FFE" w:rsidTr="0050603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>Teamwork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>All students will learn to work cooperatively with people with diver</w:t>
            </w:r>
            <w:r>
              <w:t>se backgrounds and abilities</w:t>
            </w:r>
            <w:r w:rsidRPr="00E32DC9">
              <w:t>.  Students will</w:t>
            </w:r>
            <w:r>
              <w:t xml:space="preserve"> i</w:t>
            </w:r>
            <w:r w:rsidRPr="00A22FFE">
              <w:t xml:space="preserve">dentify with the group’s goals and values, learn to exercise leadership, teach others new skills, serve clients or customers, and contribute with ideas, suggestions, and </w:t>
            </w:r>
            <w:r>
              <w:t xml:space="preserve">work </w:t>
            </w:r>
            <w:r w:rsidRPr="00A22FFE">
              <w:t xml:space="preserve">efforts.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Default="007C5227" w:rsidP="007C5227">
            <w:r>
              <w:t>Reading</w:t>
            </w:r>
          </w:p>
          <w:p w:rsidR="007C5227" w:rsidRDefault="007C5227" w:rsidP="007C5227">
            <w:r>
              <w:t>Language Arts</w:t>
            </w:r>
          </w:p>
          <w:p w:rsidR="007C5227" w:rsidRDefault="007C5227" w:rsidP="007C5227">
            <w:r>
              <w:t>Speaking and Listening</w:t>
            </w:r>
          </w:p>
          <w:p w:rsidR="007C5227" w:rsidRPr="00A22FFE" w:rsidRDefault="007C5227" w:rsidP="007C5227">
            <w:r>
              <w:t>Math</w:t>
            </w:r>
          </w:p>
        </w:tc>
      </w:tr>
      <w:tr w:rsidR="007C5227" w:rsidRPr="00A22FFE" w:rsidTr="0050603B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E32DC9" w:rsidRDefault="007C5227" w:rsidP="00A55719">
            <w:r w:rsidRPr="00E32DC9">
              <w:t xml:space="preserve">Employment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>
              <w:t xml:space="preserve">All students will develop job search skills for employment such as completing an application, resume, cover letter, thank you letter, and interviewing techniques.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Default="007C5227" w:rsidP="007C5227">
            <w:r>
              <w:t>Language Arts</w:t>
            </w:r>
          </w:p>
          <w:p w:rsidR="007C5227" w:rsidRDefault="007C5227" w:rsidP="007C5227">
            <w:r>
              <w:t>Speaking and Listening</w:t>
            </w:r>
          </w:p>
          <w:p w:rsidR="007C5227" w:rsidRDefault="007C5227" w:rsidP="007C5227"/>
        </w:tc>
      </w:tr>
      <w:tr w:rsidR="007C5227" w:rsidRPr="00A22FFE" w:rsidTr="0050603B">
        <w:trPr>
          <w:trHeight w:val="90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>Self-Management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0777DD">
            <w:r w:rsidRPr="00A22FFE">
              <w:t xml:space="preserve">All students </w:t>
            </w:r>
            <w:r w:rsidRPr="00E32DC9">
              <w:t xml:space="preserve">should </w:t>
            </w:r>
            <w:r w:rsidRPr="00A22FFE">
              <w:t xml:space="preserve">display personal qualities such as responsibility, self-management, self-confidence, ethical behavior, and respect for self and others.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Default="0050603B" w:rsidP="0050603B">
            <w:r>
              <w:t>Reading</w:t>
            </w:r>
          </w:p>
          <w:p w:rsidR="0050603B" w:rsidRDefault="0050603B" w:rsidP="0050603B">
            <w:r>
              <w:t>Language Arts</w:t>
            </w:r>
          </w:p>
          <w:p w:rsidR="0050603B" w:rsidRDefault="0050603B" w:rsidP="0050603B">
            <w:r>
              <w:t>Speaking and Listening</w:t>
            </w:r>
          </w:p>
          <w:p w:rsidR="007C5227" w:rsidRPr="00A22FFE" w:rsidRDefault="0050603B" w:rsidP="0050603B">
            <w:r>
              <w:t>Math</w:t>
            </w:r>
          </w:p>
        </w:tc>
      </w:tr>
      <w:tr w:rsidR="007C5227" w:rsidRPr="00A22FFE" w:rsidTr="0050603B">
        <w:trPr>
          <w:trHeight w:val="6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>Utilizing Resources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 xml:space="preserve">All students </w:t>
            </w:r>
            <w:r w:rsidRPr="00E32DC9">
              <w:t>will learn to</w:t>
            </w:r>
            <w:r>
              <w:t xml:space="preserve"> </w:t>
            </w:r>
            <w:r w:rsidRPr="00A22FFE">
              <w:t xml:space="preserve">identify, organize, plan, and allocate resources (such as time, money, material, and human resources) efficiently and effectively.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Default="0050603B" w:rsidP="0050603B">
            <w:r>
              <w:t>Reading</w:t>
            </w:r>
          </w:p>
          <w:p w:rsidR="0050603B" w:rsidRDefault="0050603B" w:rsidP="0050603B">
            <w:r>
              <w:t>Language Arts</w:t>
            </w:r>
          </w:p>
          <w:p w:rsidR="0050603B" w:rsidRDefault="0050603B" w:rsidP="0050603B">
            <w:r>
              <w:t>Speaking and Listening</w:t>
            </w:r>
          </w:p>
          <w:p w:rsidR="007C5227" w:rsidRPr="00A22FFE" w:rsidRDefault="0050603B" w:rsidP="0050603B">
            <w:r>
              <w:t>Math</w:t>
            </w:r>
          </w:p>
        </w:tc>
      </w:tr>
      <w:tr w:rsidR="007C5227" w:rsidRPr="00A22FFE" w:rsidTr="0050603B">
        <w:trPr>
          <w:trHeight w:val="63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>Using Information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>All students will acquire, organize, interpret, and evaluate information in post-secondary, training, or work situations.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Default="0050603B" w:rsidP="0050603B">
            <w:r>
              <w:t>Reading</w:t>
            </w:r>
          </w:p>
          <w:p w:rsidR="0050603B" w:rsidRDefault="0050603B" w:rsidP="0050603B">
            <w:r>
              <w:t>Language Arts</w:t>
            </w:r>
          </w:p>
          <w:p w:rsidR="0050603B" w:rsidRDefault="0050603B" w:rsidP="0050603B">
            <w:r>
              <w:t>Speaking and Listening</w:t>
            </w:r>
          </w:p>
          <w:p w:rsidR="007C5227" w:rsidRPr="00A22FFE" w:rsidRDefault="0050603B" w:rsidP="0050603B">
            <w:r>
              <w:t>Math</w:t>
            </w:r>
          </w:p>
        </w:tc>
      </w:tr>
      <w:tr w:rsidR="007C5227" w:rsidRPr="00A22FFE" w:rsidTr="0050603B">
        <w:trPr>
          <w:trHeight w:val="1278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>Understanding Systems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7" w:rsidRPr="00A22FFE" w:rsidRDefault="007C5227" w:rsidP="00A55719">
            <w:r w:rsidRPr="00A22FFE">
              <w:t xml:space="preserve">All students will learn to understand, monitor, and improve complex systems, including social, technical, and mechanical systems, and work with and maintain a variety of technologies.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03B" w:rsidRDefault="0050603B" w:rsidP="0050603B">
            <w:r>
              <w:t>Reading</w:t>
            </w:r>
          </w:p>
          <w:p w:rsidR="0050603B" w:rsidRDefault="0050603B" w:rsidP="0050603B">
            <w:r>
              <w:t>Language Arts</w:t>
            </w:r>
          </w:p>
          <w:p w:rsidR="0050603B" w:rsidRDefault="0050603B" w:rsidP="0050603B">
            <w:r>
              <w:t>Speaking and Listening</w:t>
            </w:r>
          </w:p>
          <w:p w:rsidR="007C5227" w:rsidRPr="00A22FFE" w:rsidRDefault="0050603B" w:rsidP="0050603B">
            <w:r>
              <w:t>Math</w:t>
            </w:r>
          </w:p>
        </w:tc>
      </w:tr>
    </w:tbl>
    <w:p w:rsidR="00A22FFE" w:rsidRPr="00A22FFE" w:rsidRDefault="00A22FFE"/>
    <w:sectPr w:rsidR="00A22FFE" w:rsidRPr="00A2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FE"/>
    <w:rsid w:val="000777DD"/>
    <w:rsid w:val="0026348F"/>
    <w:rsid w:val="004B4D45"/>
    <w:rsid w:val="0050603B"/>
    <w:rsid w:val="007C5227"/>
    <w:rsid w:val="008D40D9"/>
    <w:rsid w:val="00A22FFE"/>
    <w:rsid w:val="00A55719"/>
    <w:rsid w:val="00B132AF"/>
    <w:rsid w:val="00C1640D"/>
    <w:rsid w:val="00E0109F"/>
    <w:rsid w:val="00E03FAE"/>
    <w:rsid w:val="00E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B83FB-0CA5-4011-8D79-9A71E481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F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A22FFE"/>
    <w:rPr>
      <w:b/>
      <w:bCs/>
    </w:rPr>
  </w:style>
  <w:style w:type="table" w:styleId="TableGrid">
    <w:name w:val="Table Grid"/>
    <w:basedOn w:val="TableNormal"/>
    <w:uiPriority w:val="39"/>
    <w:rsid w:val="00A2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34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48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Waite-Burns, Ila</dc:creator>
  <cp:keywords/>
  <dc:description/>
  <cp:lastModifiedBy>Waite-Burns, Ila</cp:lastModifiedBy>
  <cp:revision>3</cp:revision>
  <cp:lastPrinted>2015-12-30T16:01:00Z</cp:lastPrinted>
  <dcterms:created xsi:type="dcterms:W3CDTF">2016-01-06T16:04:00Z</dcterms:created>
  <dcterms:modified xsi:type="dcterms:W3CDTF">2016-01-06T16:19:00Z</dcterms:modified>
</cp:coreProperties>
</file>